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Document.xml" ContentType="application/vnd.openxmlformats-officedocument.wordprocessingml.comment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rPr>
          <w:b/>
          <w:sz w:val="72"/>
          <w:szCs w:val="72"/>
          <w:rtl w:val="0"/>
        </w:rPr>
        <w:t xml:space="preserve"> FICHE ACTION VNE N°14</w:t>
      </w:r>
      <w:r>
        <w:rPr>
          <w:b/>
          <w:sz w:val="10"/>
          <w:szCs w:val="10"/>
        </w:rPr>
      </w:r>
      <w:r>
        <w:rPr>
          <w:b/>
          <w:sz w:val="10"/>
          <w:szCs w:val="10"/>
        </w:rPr>
      </w:r>
    </w:p>
    <w:tbl>
      <w:tblPr>
        <w:tblStyle w:val="909"/>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 VNE</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2214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9"/>
                              <a:srcRect l="0" t="0" r="0" b="0"/>
                              <a:stretch/>
                            </pic:blipFill>
                            <pic:spPr bwMode="auto">
                              <a:xfrm>
                                <a:off x="0" y="0"/>
                                <a:ext cx="540000" cy="2214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17.43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54000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10"/>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42.52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Portage Hub du Sud validé ; contenu à solidifier</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Mettre en place les "Assises de l'inclusion numérique" (NEC)</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Hub du Sud</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CD83 : soutien technique/matériel/humain</w:t>
            </w:r>
            <w:r/>
          </w:p>
          <w:p>
            <w:pPr>
              <w:pBdr/>
              <w:spacing/>
              <w:ind/>
              <w:rPr/>
            </w:pPr>
            <w:r>
              <w:rPr>
                <w:rtl w:val="0"/>
              </w:rPr>
              <w:t xml:space="preserve">ANCT : soutien financier (via financement NEC)</w:t>
            </w:r>
            <w:r/>
            <w:r>
              <w:rPr>
                <w:rtl w:val="0"/>
              </w:rPr>
            </w: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textDirection w:val="lrTb"/>
            <w:noWrap w:val="false"/>
          </w:tcPr>
          <w:p>
            <w:pPr>
              <w:pBdr/>
              <w:spacing/>
              <w:ind/>
              <w:rPr/>
            </w:pPr>
            <w:r>
              <w:rPr>
                <w:rtl w:val="0"/>
              </w:rPr>
              <w:t xml:space="preserve">Tous les acteurs de l’inclusion numérique, de la médiation numérique et de l’accès aux droits intéressés</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Une rencontre inter-professionnelle annuelle est l’opportunité pour des acteurs de d</w:t>
            </w:r>
            <w:r>
              <w:rPr>
                <w:rtl w:val="0"/>
              </w:rPr>
              <w:t xml:space="preserve">écouvrir de nouveaux horizons, de permettre l’émulsion, la rencontre, l’échange en bref, c’est créer une clé de voûte, point d’orgue d’une année de travail, pour faire avancer le département dans une même direction autour du sujet de l’inclusion numérique.</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rtl w:val="0"/>
              </w:rPr>
              <w:t xml:space="preserve">Créer du lien entre les acteurs du territoire</w:t>
            </w:r>
            <w:r/>
          </w:p>
          <w:p>
            <w:pPr>
              <w:pBdr/>
              <w:spacing w:after="0" w:before="0" w:line="240" w:lineRule="auto"/>
              <w:ind/>
              <w:jc w:val="left"/>
              <w:rPr/>
            </w:pPr>
            <w:r>
              <w:rPr>
                <w:rtl w:val="0"/>
              </w:rPr>
              <w:t xml:space="preserve">Apporter de la visibilité au sujet de l’inclusion numérique</w:t>
            </w:r>
            <w:r/>
          </w:p>
          <w:p>
            <w:pPr>
              <w:pBdr/>
              <w:spacing w:after="0" w:before="0" w:line="240" w:lineRule="auto"/>
              <w:ind/>
              <w:jc w:val="left"/>
              <w:rPr/>
            </w:pPr>
            <w:r>
              <w:rPr>
                <w:rtl w:val="0"/>
              </w:rPr>
              <w:t xml:space="preserve">Créer un temps pour faire émerger des projets innovants</w:t>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5"/>
              </w:numPr>
              <w:pBdr/>
              <w:spacing/>
              <w:ind w:hanging="360" w:left="720"/>
              <w:rPr>
                <w:u w:val="none"/>
              </w:rPr>
            </w:pPr>
            <w:r>
              <w:rPr>
                <w:rtl w:val="0"/>
              </w:rPr>
              <w:t xml:space="preserve">S’appuyer sur les propositions NEC</w:t>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rPr/>
            </w:pPr>
            <w:r>
              <w:rPr>
                <w:rtl w:val="0"/>
              </w:rPr>
              <w:t xml:space="preserve">Mise en place d’un temps de rencontre interprofessionnel sur le département du Var autour de la thématique de XXX.</w:t>
            </w:r>
            <w:r/>
          </w:p>
          <w:p>
            <w:pPr>
              <w:pBdr/>
              <w:tabs>
                <w:tab w:val="left" w:leader="none" w:pos="0"/>
              </w:tabs>
              <w:spacing w:line="276" w:lineRule="auto"/>
              <w:ind/>
              <w:rPr/>
            </w:pPr>
            <w:r>
              <w:rPr>
                <w:rtl w:val="0"/>
              </w:rPr>
              <w:t xml:space="preserve">L’occasion pour les acteurs professionnels et bénévoles d’échanger sur leurs pratiques, de découvrir des actions inspirantes et partager avec les autres participants leurs projets et envies.</w:t>
            </w:r>
            <w:r/>
          </w:p>
        </w:tc>
      </w:tr>
      <w:tr>
        <w:trPr>
          <w:cantSplit w:val="false"/>
          <w:trHeight w:val="324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8"/>
              </w:numPr>
              <w:pBdr/>
              <w:spacing w:after="0" w:before="0" w:line="240" w:lineRule="auto"/>
              <w:ind w:hanging="360" w:left="720"/>
              <w:rPr>
                <w:u w:val="none"/>
              </w:rPr>
            </w:pPr>
            <w:r>
              <w:rPr>
                <w:strike/>
                <w:rtl w:val="0"/>
              </w:rPr>
              <w:t xml:space="preserve">Validation du portage par le Hub du Sud et co-portage par le CD83</w:t>
            </w:r>
            <w:r>
              <w:rPr>
                <w:u w:val="none"/>
              </w:rPr>
            </w:r>
            <w:r>
              <w:rPr>
                <w:u w:val="none"/>
              </w:rPr>
            </w:r>
          </w:p>
          <w:p>
            <w:pPr>
              <w:numPr>
                <w:ilvl w:val="0"/>
                <w:numId w:val="8"/>
              </w:numPr>
              <w:pBdr/>
              <w:spacing w:after="0" w:before="0" w:line="240" w:lineRule="auto"/>
              <w:ind w:hanging="360" w:left="720"/>
              <w:rPr>
                <w:u w:val="none"/>
              </w:rPr>
            </w:pPr>
            <w:r>
              <w:rPr>
                <w:rtl w:val="0"/>
              </w:rPr>
              <w:t xml:space="preserve">Prise de contact avec l’ANCT</w:t>
            </w:r>
            <w:r>
              <w:rPr>
                <w:u w:val="none"/>
              </w:rPr>
            </w:r>
            <w:r>
              <w:rPr>
                <w:u w:val="none"/>
              </w:rPr>
            </w:r>
          </w:p>
          <w:p>
            <w:pPr>
              <w:numPr>
                <w:ilvl w:val="0"/>
                <w:numId w:val="8"/>
              </w:numPr>
              <w:pBdr/>
              <w:spacing w:after="0" w:before="0" w:line="240" w:lineRule="auto"/>
              <w:ind w:hanging="360" w:left="720"/>
              <w:rPr>
                <w:u w:val="none"/>
              </w:rPr>
            </w:pPr>
            <w:r>
              <w:rPr>
                <w:rtl w:val="0"/>
              </w:rPr>
              <w:t xml:space="preserve">Validation de :</w:t>
            </w:r>
            <w:r>
              <w:rPr>
                <w:u w:val="none"/>
              </w:rPr>
            </w:r>
            <w:r>
              <w:rPr>
                <w:u w:val="none"/>
              </w:rPr>
            </w:r>
          </w:p>
          <w:p>
            <w:pPr>
              <w:numPr>
                <w:ilvl w:val="1"/>
                <w:numId w:val="8"/>
              </w:numPr>
              <w:pBdr/>
              <w:spacing w:after="0" w:before="0" w:line="240" w:lineRule="auto"/>
              <w:ind w:hanging="360" w:left="1440"/>
              <w:rPr>
                <w:u w:val="none"/>
              </w:rPr>
            </w:pPr>
            <w:r>
              <w:rPr>
                <w:rtl w:val="0"/>
              </w:rPr>
              <w:t xml:space="preserve">La thématique centrale du NEC</w:t>
            </w:r>
            <w:r>
              <w:rPr>
                <w:u w:val="none"/>
              </w:rPr>
            </w:r>
            <w:r>
              <w:rPr>
                <w:u w:val="none"/>
              </w:rPr>
            </w:r>
          </w:p>
          <w:p>
            <w:pPr>
              <w:numPr>
                <w:ilvl w:val="1"/>
                <w:numId w:val="8"/>
              </w:numPr>
              <w:pBdr/>
              <w:spacing w:after="0" w:before="0" w:line="240" w:lineRule="auto"/>
              <w:ind w:hanging="360" w:left="1440"/>
              <w:rPr>
                <w:u w:val="none"/>
              </w:rPr>
            </w:pPr>
            <w:r>
              <w:rPr>
                <w:rtl w:val="0"/>
              </w:rPr>
              <w:t xml:space="preserve">La lieu</w:t>
            </w:r>
            <w:r>
              <w:rPr>
                <w:u w:val="none"/>
              </w:rPr>
            </w:r>
            <w:r>
              <w:rPr>
                <w:u w:val="none"/>
              </w:rPr>
            </w:r>
          </w:p>
          <w:p>
            <w:pPr>
              <w:numPr>
                <w:ilvl w:val="1"/>
                <w:numId w:val="8"/>
              </w:numPr>
              <w:pBdr/>
              <w:spacing w:after="0" w:before="0" w:line="240" w:lineRule="auto"/>
              <w:ind w:hanging="360" w:left="1440"/>
              <w:rPr>
                <w:u w:val="none"/>
              </w:rPr>
            </w:pPr>
            <w:r>
              <w:rPr>
                <w:rtl w:val="0"/>
              </w:rPr>
              <w:t xml:space="preserve">La date</w:t>
            </w:r>
            <w:r>
              <w:rPr>
                <w:u w:val="none"/>
              </w:rPr>
            </w:r>
            <w:r>
              <w:rPr>
                <w:u w:val="none"/>
              </w:rPr>
            </w:r>
          </w:p>
          <w:p>
            <w:pPr>
              <w:numPr>
                <w:ilvl w:val="0"/>
                <w:numId w:val="8"/>
              </w:numPr>
              <w:pBdr/>
              <w:spacing w:after="0" w:before="0" w:line="240" w:lineRule="auto"/>
              <w:ind w:hanging="360" w:left="720"/>
              <w:rPr>
                <w:u w:val="none"/>
              </w:rPr>
            </w:pPr>
            <w:r>
              <w:rPr>
                <w:rtl w:val="0"/>
              </w:rPr>
              <w:t xml:space="preserve">Etablir la programmation des intervenants</w:t>
            </w:r>
            <w:r>
              <w:rPr>
                <w:u w:val="none"/>
              </w:rPr>
            </w:r>
            <w:r>
              <w:rPr>
                <w:u w:val="none"/>
              </w:rPr>
            </w:r>
          </w:p>
          <w:p>
            <w:pPr>
              <w:numPr>
                <w:ilvl w:val="0"/>
                <w:numId w:val="8"/>
              </w:numPr>
              <w:pBdr/>
              <w:spacing w:after="0" w:before="0" w:line="240" w:lineRule="auto"/>
              <w:ind w:hanging="360" w:left="720"/>
              <w:rPr>
                <w:u w:val="none"/>
              </w:rPr>
            </w:pPr>
            <w:r>
              <w:rPr>
                <w:rtl w:val="0"/>
              </w:rPr>
              <w:t xml:space="preserve">Préparer la communication et les invitations</w:t>
            </w:r>
            <w:r>
              <w:rPr>
                <w:u w:val="none"/>
              </w:rPr>
            </w:r>
            <w:r>
              <w:rPr>
                <w:u w:val="none"/>
              </w:rPr>
            </w:r>
          </w:p>
          <w:p>
            <w:pPr>
              <w:numPr>
                <w:ilvl w:val="0"/>
                <w:numId w:val="8"/>
              </w:numPr>
              <w:pBdr/>
              <w:spacing w:after="0" w:before="0" w:line="240" w:lineRule="auto"/>
              <w:ind w:hanging="360" w:left="720"/>
              <w:rPr>
                <w:u w:val="none"/>
              </w:rPr>
            </w:pPr>
            <w:r>
              <w:rPr>
                <w:rtl w:val="0"/>
              </w:rPr>
              <w:t xml:space="preserve">Mise en place</w:t>
            </w:r>
            <w:r>
              <w:rPr>
                <w:u w:val="none"/>
              </w:rPr>
            </w:r>
            <w:r>
              <w:rPr>
                <w:u w:val="none"/>
              </w:rPr>
            </w:r>
          </w:p>
          <w:p>
            <w:pPr>
              <w:numPr>
                <w:ilvl w:val="0"/>
                <w:numId w:val="8"/>
              </w:numPr>
              <w:pBdr/>
              <w:spacing w:after="0" w:before="0" w:line="240" w:lineRule="auto"/>
              <w:ind w:hanging="360" w:left="720"/>
              <w:rPr>
                <w:u w:val="none"/>
              </w:rPr>
            </w:pPr>
            <w:r>
              <w:rPr>
                <w:rtl w:val="0"/>
              </w:rPr>
              <w:t xml:space="preserve">Tenue de l'événement</w:t>
            </w:r>
            <w:r>
              <w:rPr>
                <w:u w:val="none"/>
              </w:rPr>
            </w:r>
            <w:r>
              <w:rPr>
                <w:u w:val="none"/>
              </w:rPr>
            </w:r>
          </w:p>
          <w:p>
            <w:pPr>
              <w:numPr>
                <w:ilvl w:val="0"/>
                <w:numId w:val="8"/>
              </w:numPr>
              <w:pBdr/>
              <w:spacing w:after="0" w:before="0" w:line="240" w:lineRule="auto"/>
              <w:ind w:hanging="360" w:left="720"/>
              <w:rPr>
                <w:u w:val="none"/>
              </w:rPr>
            </w:pPr>
            <w:r>
              <w:rPr>
                <w:rtl w:val="0"/>
              </w:rPr>
              <w:t xml:space="preserve">Bilan de l’événement</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4"/>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283"/>
              <w:rPr>
                <w:sz w:val="24"/>
                <w:szCs w:val="24"/>
                <w:u w:val="none"/>
              </w:rPr>
            </w:pPr>
            <w:r>
              <w:rPr>
                <w:sz w:val="24"/>
                <w:szCs w:val="24"/>
                <w:rtl w:val="0"/>
              </w:rPr>
              <w:t xml:space="preserve"> DÉBUT: 30/09/2025</w:t>
            </w:r>
            <w:r>
              <w:rPr>
                <w:sz w:val="24"/>
                <w:szCs w:val="24"/>
                <w:u w:val="none"/>
              </w:rPr>
            </w:r>
            <w:r>
              <w:rPr>
                <w:sz w:val="24"/>
                <w:szCs w:val="24"/>
                <w:u w:val="none"/>
              </w:rPr>
            </w:r>
          </w:p>
          <w:p>
            <w:pPr>
              <w:pBdr/>
              <w:spacing w:after="0" w:before="0" w:line="240" w:lineRule="auto"/>
              <w:ind/>
              <w:rPr/>
            </w:pPr>
            <w:r>
              <w:rPr>
                <w:sz w:val="24"/>
                <w:szCs w:val="24"/>
                <w:rtl w:val="0"/>
              </w:rPr>
              <w:t xml:space="preserve">       FIN : à déterminer</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Département du 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Acteurs varois mais ouvert à la région</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Une journée de rencontre interprofessionnel permettant des échanges entre professionnels et la présentation de VNE</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Moyens humains CD83</w:t>
            </w:r>
            <w:r/>
          </w:p>
          <w:p>
            <w:pPr>
              <w:pBdr/>
              <w:spacing w:after="0" w:before="0" w:line="240" w:lineRule="auto"/>
              <w:ind/>
              <w:rPr/>
            </w:pPr>
            <w:r>
              <w:rPr>
                <w:rtl w:val="0"/>
              </w:rPr>
              <w:t xml:space="preserve">Moyens humains HdS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Salle(s) mise(s) à disposition par CD83</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Soutien financier de l’ANCT pour actions HdS avec un extra (potentiel)</w:t>
            </w: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Besoin financier pour les intervenants (déplacement, coût de l’intervention, etc.)</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Respect des délais</w:t>
            </w:r>
            <w:r/>
          </w:p>
          <w:p>
            <w:pPr>
              <w:pBdr/>
              <w:spacing w:after="0" w:before="0" w:line="240" w:lineRule="auto"/>
              <w:ind/>
              <w:rPr/>
            </w:pPr>
            <w:r>
              <w:rPr>
                <w:rtl w:val="0"/>
              </w:rPr>
              <w:t xml:space="preserve">Nombre de personnes</w:t>
            </w:r>
            <w:r/>
          </w:p>
          <w:p>
            <w:pPr>
              <w:pBdr/>
              <w:spacing w:after="0" w:before="0" w:line="240" w:lineRule="auto"/>
              <w:ind/>
              <w:rPr/>
            </w:pPr>
            <w:r>
              <w:rPr>
                <w:rtl w:val="0"/>
              </w:rPr>
              <w:t xml:space="preserve">Retours qualitatifs</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1" w:tooltip="https://storage.lesbases.anct.gouv.fr/main/user/6ef93c77-abf6-4e52-b68e-e5c95fc4e4e6/UtqnpEKnqDgLxwjxaHQrJ_Guide%20d'organisation%20NEC%20local.pdf" w:history="1">
              <w:r>
                <w:rPr>
                  <w:color w:val="1155cc"/>
                  <w:u w:val="single"/>
                  <w:rtl w:val="0"/>
                </w:rPr>
                <w:t xml:space="preserve">https://storage.lesbases.anct.gouv.fr/main/user/6ef93c77-abf6-4e52-b68e-e5c95fc4e4e6/UtqnpEKnqDgLxwjxaHQrJ_Guide%20d'organisation%20NEC%20local.pdf</w:t>
              </w:r>
            </w:hyperlink>
            <w:r>
              <w:rPr>
                <w:rtl w:val="0"/>
              </w:rPr>
            </w:r>
            <w:r/>
          </w:p>
          <w:p>
            <w:pPr>
              <w:pBdr/>
              <w:spacing w:after="0" w:before="0" w:line="240" w:lineRule="auto"/>
              <w:ind/>
              <w:rPr>
                <w:sz w:val="24"/>
                <w:szCs w:val="24"/>
              </w:rPr>
            </w:pPr>
            <w:r>
              <w:rPr>
                <w:sz w:val="24"/>
                <w:szCs w:val="24"/>
              </w:rPr>
            </w:r>
            <w:hyperlink r:id="rId12" w:tooltip="https://numerique-en-communs.fr/la-demarche/#piliers" w:history="1">
              <w:r>
                <w:rPr>
                  <w:color w:val="0b57d0"/>
                  <w:sz w:val="22"/>
                  <w:szCs w:val="22"/>
                  <w:highlight w:val="white"/>
                  <w:u w:val="single"/>
                  <w:rtl w:val="0"/>
                </w:rPr>
                <w:t xml:space="preserve">https://numerique-en-communs.fr/la-demarche/#piliers</w:t>
              </w:r>
            </w:hyperlink>
            <w:r>
              <w:rPr>
                <w:sz w:val="24"/>
                <w:szCs w:val="24"/>
                <w:rtl w:val="0"/>
              </w:rPr>
            </w:r>
            <w:r>
              <w:rPr>
                <w:sz w:val="24"/>
                <w:szCs w:val="24"/>
              </w:rP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ntin BOUSSET" w:date="2025-09-30T12:58:32Z">
    <w:p w14:paraId="00000001" w14:textId="00000001">
      <w:pPr>
        <w:spacing w:line="240" w:after="0" w:lineRule="auto" w:before="0"/>
        <w:ind w:firstLine="0" w:left="0" w:right="0"/>
        <w:jc w:val="left"/>
      </w:pPr>
      <w:r>
        <w:rPr>
          <w:rFonts w:eastAsia="Arial" w:ascii="Arial" w:hAnsi="Arial" w:cs="Arial"/>
          <w:sz w:val="22"/>
        </w:rPr>
        <w:t xml:space="preserve">La démarche cherche à mobiliser l’ensemble des professionnels, pour qu’ils puissent s’acculturer aux thématiques, s’outiller sur un sujet spécifique, découvrir l’écosystème et ses acteurs, rencontrer la communauté ou contribuer activement à la création de ressources et d’outils.</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A9FFA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hyperlink" Target="https://storage.lesbases.anct.gouv.fr/main/user/6ef93c77-abf6-4e52-b68e-e5c95fc4e4e6/UtqnpEKnqDgLxwjxaHQrJ_Guide%20d&apos;organisation%20NEC%20local.pdf" TargetMode="External"/><Relationship Id="rId12" Type="http://schemas.openxmlformats.org/officeDocument/2006/relationships/hyperlink" Target="https://numerique-en-communs.fr/la-demarche/#piliers" TargetMode="External"/><Relationship Id="rId13" Type="http://schemas.onlyoffice.com/commentsDocument" Target="commentsDocument.xml" /><Relationship Id="rId14" Type="http://schemas.onlyoffice.com/commentsExtendedDocument" Target="commentsExtendedDocument.xml" /><Relationship Id="rId15"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1</cp:revision>
  <dcterms:modified xsi:type="dcterms:W3CDTF">2025-10-10T10:19:32Z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